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A3" w:rsidRDefault="00587817" w:rsidP="00191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3-е чтение</w:t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34E32">
        <w:rPr>
          <w:b/>
        </w:rPr>
        <w:t xml:space="preserve"> 07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34E32">
        <w:rPr>
          <w:b/>
        </w:rPr>
        <w:t>декабря</w:t>
      </w:r>
      <w:r w:rsidR="000E1215">
        <w:rPr>
          <w:b/>
        </w:rPr>
        <w:t xml:space="preserve">  </w:t>
      </w:r>
      <w:r w:rsidR="00DB1BBF">
        <w:rPr>
          <w:b/>
        </w:rPr>
        <w:t>202</w:t>
      </w:r>
      <w:r w:rsidR="00FE38D8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034E32">
        <w:rPr>
          <w:b/>
        </w:rPr>
        <w:t xml:space="preserve">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034E32">
        <w:rPr>
          <w:b/>
        </w:rPr>
        <w:t>20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97705E">
        <w:rPr>
          <w:b/>
        </w:rPr>
        <w:t>2</w:t>
      </w:r>
      <w:r w:rsidRPr="00611B59"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 Санкт-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</w:t>
      </w:r>
      <w:r w:rsidR="0097705E">
        <w:rPr>
          <w:sz w:val="24"/>
          <w:szCs w:val="24"/>
        </w:rPr>
        <w:t>2</w:t>
      </w:r>
      <w:r w:rsidRPr="00611B59">
        <w:rPr>
          <w:sz w:val="24"/>
          <w:szCs w:val="24"/>
        </w:rPr>
        <w:t xml:space="preserve">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="0097705E">
        <w:rPr>
          <w:b/>
          <w:sz w:val="24"/>
          <w:szCs w:val="24"/>
        </w:rPr>
        <w:t>46</w:t>
      </w:r>
      <w:r w:rsidR="001924E3">
        <w:rPr>
          <w:b/>
          <w:sz w:val="24"/>
          <w:szCs w:val="24"/>
        </w:rPr>
        <w:t> 426,4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1134E" w:rsidRPr="00B13D0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="00B13D0E">
        <w:rPr>
          <w:b/>
          <w:color w:val="FF0000"/>
          <w:sz w:val="24"/>
          <w:szCs w:val="24"/>
        </w:rPr>
        <w:t xml:space="preserve"> </w:t>
      </w:r>
      <w:r w:rsidR="00B13D0E" w:rsidRPr="00B13D0E">
        <w:rPr>
          <w:b/>
          <w:sz w:val="24"/>
          <w:szCs w:val="24"/>
        </w:rPr>
        <w:t>51 292,50</w:t>
      </w:r>
      <w:r w:rsidRPr="00B13D0E">
        <w:rPr>
          <w:b/>
          <w:sz w:val="24"/>
          <w:szCs w:val="24"/>
        </w:rPr>
        <w:t xml:space="preserve"> тыс.рублей</w:t>
      </w:r>
      <w:r w:rsidRPr="00B13D0E">
        <w:rPr>
          <w:sz w:val="24"/>
          <w:szCs w:val="24"/>
        </w:rPr>
        <w:t>;</w:t>
      </w:r>
    </w:p>
    <w:p w:rsidR="001B1516" w:rsidRPr="00B13D0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B13D0E">
        <w:rPr>
          <w:sz w:val="24"/>
          <w:szCs w:val="24"/>
        </w:rPr>
        <w:t xml:space="preserve">дефицит (профицит) бюджета внутригородского муниципального образования города федерального значения Санкт-Петербурга поселок Солнечное в сумме </w:t>
      </w:r>
      <w:r w:rsidR="00B13D0E" w:rsidRPr="00B13D0E">
        <w:rPr>
          <w:b/>
          <w:sz w:val="24"/>
          <w:szCs w:val="24"/>
        </w:rPr>
        <w:t>4 866,1</w:t>
      </w:r>
      <w:r w:rsidRPr="00B13D0E">
        <w:rPr>
          <w:b/>
          <w:sz w:val="24"/>
          <w:szCs w:val="24"/>
        </w:rPr>
        <w:t xml:space="preserve"> тыс. рублей</w:t>
      </w:r>
      <w:r w:rsidR="001E3723" w:rsidRPr="00B13D0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</w:t>
      </w:r>
      <w:r w:rsidR="0097705E">
        <w:rPr>
          <w:sz w:val="24"/>
          <w:szCs w:val="24"/>
        </w:rPr>
        <w:t xml:space="preserve">местной </w:t>
      </w:r>
      <w:r w:rsidRPr="00C1134E">
        <w:rPr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</w:t>
      </w:r>
      <w:r>
        <w:rPr>
          <w:sz w:val="24"/>
          <w:szCs w:val="24"/>
        </w:rPr>
        <w:t>202</w:t>
      </w:r>
      <w:r w:rsidR="0097705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1134E">
        <w:rPr>
          <w:sz w:val="24"/>
          <w:szCs w:val="24"/>
        </w:rPr>
        <w:t xml:space="preserve">года в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 xml:space="preserve">, в том числе верхний предел долга по муниципальным гарантиям  сумме </w:t>
      </w:r>
      <w:r w:rsidR="003D56E2" w:rsidRPr="001B1516">
        <w:rPr>
          <w:b/>
          <w:sz w:val="24"/>
          <w:szCs w:val="24"/>
        </w:rPr>
        <w:t xml:space="preserve">0,0 </w:t>
      </w:r>
      <w:r w:rsidRPr="001B1516">
        <w:rPr>
          <w:b/>
          <w:sz w:val="24"/>
          <w:szCs w:val="24"/>
        </w:rPr>
        <w:t>тыс. рублей</w:t>
      </w:r>
      <w:r w:rsidRPr="00C1134E">
        <w:rPr>
          <w:sz w:val="24"/>
          <w:szCs w:val="24"/>
        </w:rPr>
        <w:t>;</w:t>
      </w:r>
    </w:p>
    <w:p w:rsidR="003D56E2" w:rsidRPr="00384817" w:rsidRDefault="003D56E2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84817">
        <w:rPr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384817">
        <w:rPr>
          <w:b/>
          <w:sz w:val="24"/>
          <w:szCs w:val="24"/>
        </w:rPr>
        <w:t>0,0 тыс. рублей</w:t>
      </w:r>
      <w:r w:rsidRPr="00384817">
        <w:rPr>
          <w:sz w:val="24"/>
          <w:szCs w:val="24"/>
        </w:rPr>
        <w:t>;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кодам классификации доходов на 202</w:t>
      </w:r>
      <w:r w:rsidR="0097705E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</w:t>
      </w:r>
      <w:r w:rsidR="001924E3">
        <w:rPr>
          <w:color w:val="1F497D" w:themeColor="text2"/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97705E">
        <w:rPr>
          <w:sz w:val="24"/>
          <w:szCs w:val="24"/>
        </w:rPr>
        <w:t>2</w:t>
      </w:r>
      <w:r w:rsidR="00FD3EFE">
        <w:rPr>
          <w:sz w:val="24"/>
          <w:szCs w:val="24"/>
        </w:rPr>
        <w:t xml:space="preserve"> год в сумме </w:t>
      </w:r>
      <w:r w:rsidR="0097705E">
        <w:rPr>
          <w:b/>
          <w:sz w:val="24"/>
          <w:szCs w:val="24"/>
        </w:rPr>
        <w:t>46</w:t>
      </w:r>
      <w:r w:rsidR="001924E3">
        <w:rPr>
          <w:b/>
          <w:sz w:val="24"/>
          <w:szCs w:val="24"/>
        </w:rPr>
        <w:t> 271,4</w:t>
      </w:r>
      <w:r w:rsidR="00FD3EFE" w:rsidRPr="00FD3EFE">
        <w:rPr>
          <w:b/>
          <w:sz w:val="24"/>
          <w:szCs w:val="24"/>
        </w:rPr>
        <w:t xml:space="preserve"> тыс.рублей</w:t>
      </w:r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Дотация из бюджета Санкт-Петербурга на выравнивание бюджетной обеспеченности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>
        <w:rPr>
          <w:sz w:val="24"/>
          <w:szCs w:val="24"/>
        </w:rPr>
        <w:t xml:space="preserve"> Санкт-Петербурга – </w:t>
      </w:r>
      <w:r w:rsidR="0097705E">
        <w:rPr>
          <w:b/>
          <w:sz w:val="24"/>
          <w:szCs w:val="24"/>
        </w:rPr>
        <w:t>45</w:t>
      </w:r>
      <w:r w:rsidR="001924E3">
        <w:rPr>
          <w:b/>
          <w:sz w:val="24"/>
          <w:szCs w:val="24"/>
        </w:rPr>
        <w:t> 266,5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 w:rsidR="0058517F" w:rsidRPr="0058517F">
        <w:rPr>
          <w:sz w:val="24"/>
          <w:szCs w:val="24"/>
        </w:rPr>
        <w:t xml:space="preserve"> Санкт-Петербурга на </w:t>
      </w:r>
      <w:r w:rsidR="009F7D2D">
        <w:rPr>
          <w:sz w:val="24"/>
          <w:szCs w:val="24"/>
        </w:rPr>
        <w:t>выполнение</w:t>
      </w:r>
      <w:r w:rsidR="0058517F" w:rsidRPr="0058517F">
        <w:rPr>
          <w:sz w:val="24"/>
          <w:szCs w:val="24"/>
        </w:rPr>
        <w:t xml:space="preserve">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7705E">
        <w:rPr>
          <w:b/>
          <w:sz w:val="24"/>
          <w:szCs w:val="24"/>
        </w:rPr>
        <w:t>996,8</w:t>
      </w:r>
      <w:r>
        <w:rPr>
          <w:b/>
          <w:sz w:val="24"/>
          <w:szCs w:val="24"/>
        </w:rPr>
        <w:t xml:space="preserve"> тыс. руб</w:t>
      </w:r>
      <w:r w:rsidR="00FD3EFE">
        <w:rPr>
          <w:b/>
          <w:sz w:val="24"/>
          <w:szCs w:val="24"/>
        </w:rPr>
        <w:t>лей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F7D2D">
        <w:rPr>
          <w:b/>
          <w:sz w:val="24"/>
          <w:szCs w:val="24"/>
        </w:rPr>
        <w:t>8,1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A00F96">
        <w:rPr>
          <w:color w:val="548DD4" w:themeColor="text2" w:themeTint="99"/>
          <w:sz w:val="24"/>
          <w:szCs w:val="24"/>
        </w:rPr>
        <w:t>2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="00A00F96">
        <w:rPr>
          <w:color w:val="548DD4" w:themeColor="text2" w:themeTint="99"/>
          <w:sz w:val="24"/>
          <w:szCs w:val="24"/>
        </w:rPr>
        <w:t>3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="00362B1E"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A00F96">
        <w:rPr>
          <w:color w:val="548DD4" w:themeColor="text2" w:themeTint="99"/>
          <w:sz w:val="24"/>
          <w:szCs w:val="24"/>
        </w:rPr>
        <w:t>4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>сточники финансирования дефицита бюджета</w:t>
      </w:r>
      <w:r w:rsidR="00362B1E" w:rsidRPr="004F5FF4">
        <w:rPr>
          <w:sz w:val="24"/>
          <w:szCs w:val="24"/>
        </w:rPr>
        <w:t xml:space="preserve">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 xml:space="preserve">2 </w:t>
      </w:r>
      <w:r w:rsidR="006822A3">
        <w:rPr>
          <w:sz w:val="24"/>
          <w:szCs w:val="24"/>
        </w:rPr>
        <w:t xml:space="preserve">год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и распределение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 поселок Солнечное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FB0604" w:rsidRPr="00FB0604">
        <w:rPr>
          <w:sz w:val="24"/>
          <w:szCs w:val="24"/>
        </w:rPr>
        <w:t>на 202</w:t>
      </w:r>
      <w:r w:rsidR="009F7D2D">
        <w:rPr>
          <w:sz w:val="24"/>
          <w:szCs w:val="24"/>
        </w:rPr>
        <w:t>2</w:t>
      </w:r>
      <w:r w:rsidR="00FB0604" w:rsidRPr="00FB0604">
        <w:rPr>
          <w:sz w:val="24"/>
          <w:szCs w:val="24"/>
        </w:rPr>
        <w:t xml:space="preserve"> год 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</w:t>
      </w:r>
      <w:r w:rsidR="005450DC">
        <w:rPr>
          <w:color w:val="548DD4" w:themeColor="text2" w:themeTint="99"/>
          <w:sz w:val="24"/>
          <w:szCs w:val="24"/>
        </w:rPr>
        <w:t>6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384817" w:rsidRPr="005450DC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color w:val="0F243E" w:themeColor="text2" w:themeShade="80"/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="009F7D2D">
        <w:rPr>
          <w:b/>
          <w:sz w:val="24"/>
          <w:szCs w:val="24"/>
        </w:rPr>
        <w:t>85,0</w:t>
      </w:r>
      <w:r w:rsidRPr="00865E8B">
        <w:rPr>
          <w:b/>
          <w:sz w:val="24"/>
          <w:szCs w:val="24"/>
        </w:rPr>
        <w:t xml:space="preserve">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  <w:r w:rsidR="005450DC">
        <w:rPr>
          <w:b/>
          <w:sz w:val="24"/>
          <w:szCs w:val="24"/>
        </w:rPr>
        <w:t xml:space="preserve"> </w:t>
      </w:r>
      <w:r w:rsidR="005450DC" w:rsidRPr="005450DC">
        <w:rPr>
          <w:color w:val="0F243E" w:themeColor="text2" w:themeShade="80"/>
          <w:sz w:val="24"/>
          <w:szCs w:val="24"/>
        </w:rPr>
        <w:t>Порядок предоставления</w:t>
      </w:r>
      <w:r w:rsidR="005450DC" w:rsidRPr="005450DC">
        <w:rPr>
          <w:b/>
          <w:color w:val="0F243E" w:themeColor="text2" w:themeShade="80"/>
          <w:sz w:val="24"/>
          <w:szCs w:val="24"/>
        </w:rPr>
        <w:t xml:space="preserve"> </w:t>
      </w:r>
      <w:r w:rsidR="005450DC" w:rsidRPr="005450DC">
        <w:rPr>
          <w:color w:val="0F243E" w:themeColor="text2" w:themeShade="80"/>
          <w:sz w:val="24"/>
          <w:szCs w:val="24"/>
        </w:rPr>
        <w:t>субсидии устанавливается Постановлением Главы местной администрации.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Расходование 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допускается </w:t>
      </w:r>
      <w:r>
        <w:rPr>
          <w:sz w:val="24"/>
          <w:szCs w:val="24"/>
        </w:rPr>
        <w:lastRenderedPageBreak/>
        <w:t>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</w:t>
      </w:r>
      <w:r w:rsidR="002F7581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034E32">
        <w:rPr>
          <w:b/>
        </w:rPr>
        <w:t xml:space="preserve">           </w:t>
      </w:r>
      <w:bookmarkStart w:id="0" w:name="_GoBack"/>
      <w:bookmarkEnd w:id="0"/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13" w:rsidRDefault="009E7D13">
      <w:r>
        <w:separator/>
      </w:r>
    </w:p>
  </w:endnote>
  <w:endnote w:type="continuationSeparator" w:id="0">
    <w:p w:rsidR="009E7D13" w:rsidRDefault="009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13" w:rsidRDefault="009E7D13">
      <w:r>
        <w:separator/>
      </w:r>
    </w:p>
  </w:footnote>
  <w:footnote w:type="continuationSeparator" w:id="0">
    <w:p w:rsidR="009E7D13" w:rsidRDefault="009E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4E32">
      <w:rPr>
        <w:rStyle w:val="a9"/>
        <w:noProof/>
      </w:rPr>
      <w:t>3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34E32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64F5"/>
    <w:rsid w:val="00587817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05E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9E7D13"/>
    <w:rsid w:val="009F7D2D"/>
    <w:rsid w:val="00A00F96"/>
    <w:rsid w:val="00A019A3"/>
    <w:rsid w:val="00A101D3"/>
    <w:rsid w:val="00A2491F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DA3"/>
    <w:rsid w:val="00B254E4"/>
    <w:rsid w:val="00B34DA0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77825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CCC22"/>
  <w15:docId w15:val="{C6E1B79B-97F4-45EA-8142-94BEDEC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2021-10-18T08:50:00Z</cp:lastPrinted>
  <dcterms:created xsi:type="dcterms:W3CDTF">2021-12-08T08:33:00Z</dcterms:created>
  <dcterms:modified xsi:type="dcterms:W3CDTF">2021-12-08T08:33:00Z</dcterms:modified>
</cp:coreProperties>
</file>